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82A0" w14:textId="7B09CF68" w:rsidR="000F7252" w:rsidRDefault="000F7252" w:rsidP="009377B4">
      <w:pPr>
        <w:ind w:firstLine="720"/>
        <w:rPr>
          <w:b/>
          <w:bCs/>
          <w:sz w:val="24"/>
          <w:szCs w:val="24"/>
        </w:rPr>
      </w:pPr>
    </w:p>
    <w:p w14:paraId="4266B368" w14:textId="77777777" w:rsidR="00C90756" w:rsidRDefault="00C90756" w:rsidP="009377B4">
      <w:pPr>
        <w:ind w:firstLine="720"/>
        <w:rPr>
          <w:b/>
          <w:bCs/>
          <w:sz w:val="24"/>
          <w:szCs w:val="24"/>
        </w:rPr>
      </w:pPr>
    </w:p>
    <w:p w14:paraId="2C8CF23E" w14:textId="77777777" w:rsidR="000F7252" w:rsidRDefault="000F7252" w:rsidP="009377B4">
      <w:pPr>
        <w:ind w:firstLine="720"/>
        <w:rPr>
          <w:b/>
          <w:bCs/>
          <w:sz w:val="24"/>
          <w:szCs w:val="24"/>
        </w:rPr>
      </w:pPr>
    </w:p>
    <w:p w14:paraId="3635FE41" w14:textId="7D7702C9" w:rsidR="009A5DDC" w:rsidRDefault="009A5DDC" w:rsidP="009377B4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Mason County Cemetery District One, Regular Meeting, </w:t>
      </w:r>
      <w:r w:rsidR="002C3E9B">
        <w:rPr>
          <w:b/>
          <w:bCs/>
          <w:sz w:val="24"/>
          <w:szCs w:val="24"/>
        </w:rPr>
        <w:t>December</w:t>
      </w:r>
      <w:r w:rsidR="00E754DD">
        <w:rPr>
          <w:b/>
          <w:bCs/>
          <w:sz w:val="24"/>
          <w:szCs w:val="24"/>
        </w:rPr>
        <w:t xml:space="preserve"> </w:t>
      </w:r>
      <w:r w:rsidR="002C3E9B">
        <w:rPr>
          <w:b/>
          <w:bCs/>
          <w:sz w:val="24"/>
          <w:szCs w:val="24"/>
        </w:rPr>
        <w:t>20</w:t>
      </w:r>
      <w:r w:rsidR="00436D29">
        <w:rPr>
          <w:b/>
          <w:bCs/>
          <w:sz w:val="24"/>
          <w:szCs w:val="24"/>
        </w:rPr>
        <w:t>, 202</w:t>
      </w:r>
      <w:r w:rsidR="003E06D1">
        <w:rPr>
          <w:b/>
          <w:bCs/>
          <w:sz w:val="24"/>
          <w:szCs w:val="24"/>
        </w:rPr>
        <w:t>1</w:t>
      </w:r>
    </w:p>
    <w:p w14:paraId="10027BF3" w14:textId="577D8D80" w:rsidR="001A16AC" w:rsidRDefault="001A16AC" w:rsidP="001A16AC">
      <w:pPr>
        <w:ind w:left="720"/>
        <w:rPr>
          <w:sz w:val="24"/>
          <w:szCs w:val="24"/>
        </w:rPr>
      </w:pPr>
      <w:r>
        <w:rPr>
          <w:sz w:val="24"/>
          <w:szCs w:val="24"/>
        </w:rPr>
        <w:t>Commissioner Ken VanBuskirk called the meeting to order at 4:</w:t>
      </w:r>
      <w:r w:rsidR="002C3E9B">
        <w:rPr>
          <w:sz w:val="24"/>
          <w:szCs w:val="24"/>
        </w:rPr>
        <w:t>07</w:t>
      </w:r>
      <w:r>
        <w:rPr>
          <w:sz w:val="24"/>
          <w:szCs w:val="24"/>
        </w:rPr>
        <w:t xml:space="preserve"> PM at the HUB Center for seniors in Belfair, WA.  Commissioner Debra Braz , Commissioner Jill Loudin, </w:t>
      </w:r>
      <w:r w:rsidR="001F33DF">
        <w:rPr>
          <w:sz w:val="24"/>
          <w:szCs w:val="24"/>
        </w:rPr>
        <w:t xml:space="preserve">and </w:t>
      </w:r>
      <w:r>
        <w:rPr>
          <w:sz w:val="24"/>
          <w:szCs w:val="24"/>
        </w:rPr>
        <w:t>Clerk Sharon Hankinson were in attendance.</w:t>
      </w:r>
      <w:r w:rsidR="001F33DF">
        <w:rPr>
          <w:sz w:val="24"/>
          <w:szCs w:val="24"/>
        </w:rPr>
        <w:t xml:space="preserve">  Assistant Clerk Paula Grande was excused.  </w:t>
      </w:r>
      <w:r>
        <w:rPr>
          <w:sz w:val="24"/>
          <w:szCs w:val="24"/>
        </w:rPr>
        <w:t xml:space="preserve"> COVID 19 guidelines for social distancing were observed.</w:t>
      </w:r>
    </w:p>
    <w:p w14:paraId="0E03CFD3" w14:textId="5755EA36" w:rsidR="00EE737D" w:rsidRDefault="00620B72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minutes for the </w:t>
      </w:r>
      <w:r w:rsidR="001F33DF">
        <w:rPr>
          <w:sz w:val="24"/>
          <w:szCs w:val="24"/>
        </w:rPr>
        <w:t>November</w:t>
      </w:r>
      <w:r w:rsidR="00A14327">
        <w:rPr>
          <w:sz w:val="24"/>
          <w:szCs w:val="24"/>
        </w:rPr>
        <w:t xml:space="preserve"> </w:t>
      </w:r>
      <w:r w:rsidR="001A16AC">
        <w:rPr>
          <w:sz w:val="24"/>
          <w:szCs w:val="24"/>
        </w:rPr>
        <w:t>1</w:t>
      </w:r>
      <w:r w:rsidR="001F33DF">
        <w:rPr>
          <w:sz w:val="24"/>
          <w:szCs w:val="24"/>
        </w:rPr>
        <w:t>5</w:t>
      </w:r>
      <w:r w:rsidR="000E47FE">
        <w:rPr>
          <w:sz w:val="24"/>
          <w:szCs w:val="24"/>
        </w:rPr>
        <w:t xml:space="preserve">, </w:t>
      </w:r>
      <w:r w:rsidR="0010139D">
        <w:rPr>
          <w:sz w:val="24"/>
          <w:szCs w:val="24"/>
        </w:rPr>
        <w:t>2021,</w:t>
      </w:r>
      <w:r>
        <w:rPr>
          <w:sz w:val="24"/>
          <w:szCs w:val="24"/>
        </w:rPr>
        <w:t xml:space="preserve"> </w:t>
      </w:r>
      <w:r w:rsidR="001F33DF">
        <w:rPr>
          <w:sz w:val="24"/>
          <w:szCs w:val="24"/>
        </w:rPr>
        <w:t xml:space="preserve">Budget </w:t>
      </w:r>
      <w:r w:rsidR="0010139D">
        <w:rPr>
          <w:sz w:val="24"/>
          <w:szCs w:val="24"/>
        </w:rPr>
        <w:t>m</w:t>
      </w:r>
      <w:r w:rsidR="004236EC">
        <w:rPr>
          <w:sz w:val="24"/>
          <w:szCs w:val="24"/>
        </w:rPr>
        <w:t>eeting</w:t>
      </w:r>
      <w:r>
        <w:rPr>
          <w:sz w:val="24"/>
          <w:szCs w:val="24"/>
        </w:rPr>
        <w:t xml:space="preserve"> were read.  </w:t>
      </w:r>
      <w:r w:rsidR="001F33DF">
        <w:rPr>
          <w:sz w:val="24"/>
          <w:szCs w:val="24"/>
        </w:rPr>
        <w:t>Debra</w:t>
      </w:r>
      <w:r w:rsidR="00394787">
        <w:rPr>
          <w:sz w:val="24"/>
          <w:szCs w:val="24"/>
        </w:rPr>
        <w:t xml:space="preserve"> moved to approve the minutes</w:t>
      </w:r>
      <w:r w:rsidR="00C47D47">
        <w:rPr>
          <w:sz w:val="24"/>
          <w:szCs w:val="24"/>
        </w:rPr>
        <w:t xml:space="preserve"> as read.</w:t>
      </w:r>
      <w:r w:rsidR="00C20DBA">
        <w:rPr>
          <w:sz w:val="24"/>
          <w:szCs w:val="24"/>
        </w:rPr>
        <w:t xml:space="preserve"> </w:t>
      </w:r>
      <w:r w:rsidR="001F33DF">
        <w:rPr>
          <w:sz w:val="24"/>
          <w:szCs w:val="24"/>
        </w:rPr>
        <w:t>Jill</w:t>
      </w:r>
      <w:r w:rsidR="00316521">
        <w:rPr>
          <w:sz w:val="24"/>
          <w:szCs w:val="24"/>
        </w:rPr>
        <w:t xml:space="preserve"> </w:t>
      </w:r>
      <w:r w:rsidR="00394787">
        <w:rPr>
          <w:sz w:val="24"/>
          <w:szCs w:val="24"/>
        </w:rPr>
        <w:t>seconded and the motion passed.</w:t>
      </w:r>
      <w:r w:rsidR="00C628A5">
        <w:rPr>
          <w:sz w:val="24"/>
          <w:szCs w:val="24"/>
        </w:rPr>
        <w:t xml:space="preserve">  </w:t>
      </w:r>
      <w:r w:rsidR="00577EF1">
        <w:rPr>
          <w:sz w:val="24"/>
          <w:szCs w:val="24"/>
        </w:rPr>
        <w:t xml:space="preserve">The minutes of the November 15, 2021, regular meeting were read.  A correction was made.  Jill moved to accept the minutes as corrected.  Debra seconded and the motion passed. </w:t>
      </w:r>
    </w:p>
    <w:p w14:paraId="4348934A" w14:textId="77777777" w:rsidR="00A14327" w:rsidRDefault="00A14327" w:rsidP="00EE737D">
      <w:pPr>
        <w:rPr>
          <w:sz w:val="24"/>
          <w:szCs w:val="24"/>
        </w:rPr>
      </w:pPr>
    </w:p>
    <w:p w14:paraId="52475C37" w14:textId="2068AFA5" w:rsidR="000E47FE" w:rsidRDefault="00E74EA3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77EF1">
        <w:rPr>
          <w:sz w:val="24"/>
          <w:szCs w:val="24"/>
        </w:rPr>
        <w:t>November</w:t>
      </w:r>
      <w:r w:rsidR="00C628A5">
        <w:rPr>
          <w:sz w:val="24"/>
          <w:szCs w:val="24"/>
        </w:rPr>
        <w:t xml:space="preserve"> </w:t>
      </w:r>
      <w:r>
        <w:rPr>
          <w:sz w:val="24"/>
          <w:szCs w:val="24"/>
        </w:rPr>
        <w:t>treasurer’s report read $</w:t>
      </w:r>
      <w:r w:rsidR="00861EFB">
        <w:rPr>
          <w:sz w:val="24"/>
          <w:szCs w:val="24"/>
        </w:rPr>
        <w:t>2</w:t>
      </w:r>
      <w:r w:rsidR="00577EF1">
        <w:rPr>
          <w:sz w:val="24"/>
          <w:szCs w:val="24"/>
        </w:rPr>
        <w:t>7</w:t>
      </w:r>
      <w:r w:rsidR="00752F80">
        <w:rPr>
          <w:sz w:val="24"/>
          <w:szCs w:val="24"/>
        </w:rPr>
        <w:t>,</w:t>
      </w:r>
      <w:r w:rsidR="00577EF1">
        <w:rPr>
          <w:sz w:val="24"/>
          <w:szCs w:val="24"/>
        </w:rPr>
        <w:t>408</w:t>
      </w:r>
      <w:r w:rsidR="00752F80">
        <w:rPr>
          <w:sz w:val="24"/>
          <w:szCs w:val="24"/>
        </w:rPr>
        <w:t>.</w:t>
      </w:r>
      <w:r w:rsidR="00577EF1">
        <w:rPr>
          <w:sz w:val="24"/>
          <w:szCs w:val="24"/>
        </w:rPr>
        <w:t>54</w:t>
      </w:r>
      <w:r w:rsidR="00752F80">
        <w:rPr>
          <w:sz w:val="24"/>
          <w:szCs w:val="24"/>
        </w:rPr>
        <w:t xml:space="preserve"> </w:t>
      </w:r>
      <w:r w:rsidR="00B62E98">
        <w:rPr>
          <w:sz w:val="24"/>
          <w:szCs w:val="24"/>
        </w:rPr>
        <w:t>in</w:t>
      </w:r>
      <w:r>
        <w:rPr>
          <w:sz w:val="24"/>
          <w:szCs w:val="24"/>
        </w:rPr>
        <w:t xml:space="preserve"> the expense fund</w:t>
      </w:r>
      <w:r w:rsidR="000B2E93">
        <w:rPr>
          <w:sz w:val="24"/>
          <w:szCs w:val="24"/>
        </w:rPr>
        <w:t xml:space="preserve"> and $</w:t>
      </w:r>
      <w:r w:rsidR="00A86176">
        <w:rPr>
          <w:sz w:val="24"/>
          <w:szCs w:val="24"/>
        </w:rPr>
        <w:t>7</w:t>
      </w:r>
      <w:r w:rsidR="000B2E93">
        <w:rPr>
          <w:sz w:val="24"/>
          <w:szCs w:val="24"/>
        </w:rPr>
        <w:t>2,000.00 in the investment fund</w:t>
      </w:r>
      <w:r w:rsidR="00B92025">
        <w:rPr>
          <w:sz w:val="24"/>
          <w:szCs w:val="24"/>
        </w:rPr>
        <w:t>.</w:t>
      </w:r>
      <w:r w:rsidR="00086C35">
        <w:rPr>
          <w:sz w:val="24"/>
          <w:szCs w:val="24"/>
        </w:rPr>
        <w:t xml:space="preserve"> </w:t>
      </w:r>
      <w:r w:rsidR="000B2E93">
        <w:rPr>
          <w:sz w:val="24"/>
          <w:szCs w:val="24"/>
        </w:rPr>
        <w:t xml:space="preserve"> T</w:t>
      </w:r>
      <w:r w:rsidR="001A2FC2">
        <w:rPr>
          <w:sz w:val="24"/>
          <w:szCs w:val="24"/>
        </w:rPr>
        <w:t xml:space="preserve">otal revenue for </w:t>
      </w:r>
      <w:r w:rsidR="003544DA">
        <w:rPr>
          <w:sz w:val="24"/>
          <w:szCs w:val="24"/>
        </w:rPr>
        <w:t>November</w:t>
      </w:r>
      <w:r w:rsidR="001A2FC2">
        <w:rPr>
          <w:sz w:val="24"/>
          <w:szCs w:val="24"/>
        </w:rPr>
        <w:t xml:space="preserve"> was</w:t>
      </w:r>
      <w:r w:rsidR="00F56161">
        <w:rPr>
          <w:sz w:val="24"/>
          <w:szCs w:val="24"/>
        </w:rPr>
        <w:t xml:space="preserve"> </w:t>
      </w:r>
      <w:r w:rsidR="00577EF1">
        <w:rPr>
          <w:sz w:val="24"/>
          <w:szCs w:val="24"/>
        </w:rPr>
        <w:t>$2,551.09</w:t>
      </w:r>
      <w:r w:rsidR="00861EFB">
        <w:rPr>
          <w:sz w:val="24"/>
          <w:szCs w:val="24"/>
        </w:rPr>
        <w:t>.</w:t>
      </w:r>
      <w:r w:rsidR="000E47FE">
        <w:rPr>
          <w:sz w:val="24"/>
          <w:szCs w:val="24"/>
        </w:rPr>
        <w:t xml:space="preserve">  </w:t>
      </w:r>
    </w:p>
    <w:p w14:paraId="16A99E1F" w14:textId="3AEC82DD" w:rsidR="00EE737D" w:rsidRDefault="001E0EF0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Debra</w:t>
      </w:r>
      <w:r w:rsidR="000E47FE">
        <w:rPr>
          <w:sz w:val="24"/>
          <w:szCs w:val="24"/>
        </w:rPr>
        <w:t xml:space="preserve"> </w:t>
      </w:r>
      <w:r w:rsidR="00C628A5">
        <w:rPr>
          <w:sz w:val="24"/>
          <w:szCs w:val="24"/>
        </w:rPr>
        <w:t>moved to a</w:t>
      </w:r>
      <w:r w:rsidR="008F15B4">
        <w:rPr>
          <w:sz w:val="24"/>
          <w:szCs w:val="24"/>
        </w:rPr>
        <w:t xml:space="preserve">ccept the treasurer’s report.  </w:t>
      </w:r>
      <w:r>
        <w:rPr>
          <w:sz w:val="24"/>
          <w:szCs w:val="24"/>
        </w:rPr>
        <w:t>Jill</w:t>
      </w:r>
      <w:r w:rsidR="000E47FE">
        <w:rPr>
          <w:sz w:val="24"/>
          <w:szCs w:val="24"/>
        </w:rPr>
        <w:t xml:space="preserve"> </w:t>
      </w:r>
      <w:r w:rsidR="008F15B4">
        <w:rPr>
          <w:sz w:val="24"/>
          <w:szCs w:val="24"/>
        </w:rPr>
        <w:t xml:space="preserve">seconded and the motion passed.  </w:t>
      </w:r>
    </w:p>
    <w:p w14:paraId="0423D392" w14:textId="77777777" w:rsidR="00A453EE" w:rsidRDefault="00A453EE" w:rsidP="009377B4">
      <w:pPr>
        <w:ind w:left="720"/>
        <w:rPr>
          <w:sz w:val="24"/>
          <w:szCs w:val="24"/>
        </w:rPr>
      </w:pPr>
    </w:p>
    <w:p w14:paraId="6D784661" w14:textId="19CAEE22" w:rsidR="00A453EE" w:rsidRDefault="00A453EE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Vouchers were presented as follows:</w:t>
      </w:r>
      <w:r w:rsidR="0010139D">
        <w:rPr>
          <w:sz w:val="24"/>
          <w:szCs w:val="24"/>
        </w:rPr>
        <w:t xml:space="preserve"> </w:t>
      </w:r>
    </w:p>
    <w:p w14:paraId="191E553D" w14:textId="5197FCA6" w:rsidR="0010139D" w:rsidRDefault="0010139D" w:rsidP="0010139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2079" w:type="dxa"/>
        <w:tblInd w:w="108" w:type="dxa"/>
        <w:tblLook w:val="04A0" w:firstRow="1" w:lastRow="0" w:firstColumn="1" w:lastColumn="0" w:noHBand="0" w:noVBand="1"/>
      </w:tblPr>
      <w:tblGrid>
        <w:gridCol w:w="1351"/>
        <w:gridCol w:w="2048"/>
        <w:gridCol w:w="3300"/>
        <w:gridCol w:w="1340"/>
        <w:gridCol w:w="4040"/>
      </w:tblGrid>
      <w:tr w:rsidR="001E0EF0" w:rsidRPr="001E0EF0" w14:paraId="2B79072E" w14:textId="77777777" w:rsidTr="001E0EF0">
        <w:trPr>
          <w:trHeight w:val="36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CAFF1D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2021-48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A9A545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12/20/21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A362892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November Landscaping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ABF6772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280.00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BF0444C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HERNANDEZ LANDSCAPING</w:t>
            </w:r>
          </w:p>
        </w:tc>
      </w:tr>
      <w:tr w:rsidR="001E0EF0" w:rsidRPr="001E0EF0" w14:paraId="3110B945" w14:textId="77777777" w:rsidTr="001E0EF0">
        <w:trPr>
          <w:trHeight w:val="36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34F1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2021-49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FB76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12/20/21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A5A6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11/05/21-12/06/21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AB97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55.91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BB56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PUD #3</w:t>
            </w:r>
          </w:p>
        </w:tc>
      </w:tr>
      <w:tr w:rsidR="001E0EF0" w:rsidRPr="001E0EF0" w14:paraId="437201A1" w14:textId="77777777" w:rsidTr="001E0EF0">
        <w:trPr>
          <w:trHeight w:val="36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9A05C8A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2021-50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0AF71E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12/20/21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7B723B2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Meeting Room Rental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7E14FC8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40.00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9BEAFFB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The HUB Center for Seniors</w:t>
            </w:r>
          </w:p>
        </w:tc>
      </w:tr>
      <w:tr w:rsidR="001E0EF0" w:rsidRPr="001E0EF0" w14:paraId="0E24D1AF" w14:textId="77777777" w:rsidTr="001E0EF0">
        <w:trPr>
          <w:trHeight w:val="36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6857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85D4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0702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AE44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5F0A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  Faith in Action West Sound</w:t>
            </w:r>
          </w:p>
        </w:tc>
      </w:tr>
      <w:tr w:rsidR="001E0EF0" w:rsidRPr="001E0EF0" w14:paraId="3BC2A9B1" w14:textId="77777777" w:rsidTr="001E0EF0">
        <w:trPr>
          <w:trHeight w:val="36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58CF241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2021-51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B366C9E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12/20/21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1F1F4C3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Oct, Nov, Dec Payroll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A47D758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1105.16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11D4A92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SHARON HANKINSON</w:t>
            </w:r>
          </w:p>
        </w:tc>
      </w:tr>
      <w:tr w:rsidR="001E0EF0" w:rsidRPr="001E0EF0" w14:paraId="250C84A2" w14:textId="77777777" w:rsidTr="001E0EF0">
        <w:trPr>
          <w:trHeight w:val="36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BF4C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2021-52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91D7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12/20/21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A6AC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4th qtr 944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C57D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198.64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1E4F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MASON COUNTY TREASURER</w:t>
            </w:r>
          </w:p>
        </w:tc>
      </w:tr>
      <w:tr w:rsidR="001E0EF0" w:rsidRPr="001E0EF0" w14:paraId="50491736" w14:textId="77777777" w:rsidTr="001E0EF0">
        <w:trPr>
          <w:trHeight w:val="36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C48FCB6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2021-53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713C55B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12/20/21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C871BFC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4th qtr L &amp; 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64969EA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13.23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97107E8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DEPT OF LABOR &amp; INDUSTRIES</w:t>
            </w:r>
          </w:p>
        </w:tc>
      </w:tr>
      <w:tr w:rsidR="001E0EF0" w:rsidRPr="001E0EF0" w14:paraId="1D1CD75C" w14:textId="77777777" w:rsidTr="001E0EF0">
        <w:trPr>
          <w:trHeight w:val="36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5AD8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2021-54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DD59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12/20/21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60BE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Reimbursement-Supplies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48D2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159.24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5411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SHARON HANKINSON</w:t>
            </w:r>
          </w:p>
        </w:tc>
      </w:tr>
      <w:tr w:rsidR="001E0EF0" w:rsidRPr="001E0EF0" w14:paraId="7CF4A610" w14:textId="77777777" w:rsidTr="001E0EF0">
        <w:trPr>
          <w:trHeight w:val="36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7EAD53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4CC3F3D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AA2EB30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   Office and Signage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7257D29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43F56E0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jc w:val="right"/>
              <w:rPr>
                <w:kern w:val="0"/>
              </w:rPr>
            </w:pPr>
          </w:p>
        </w:tc>
      </w:tr>
      <w:tr w:rsidR="001E0EF0" w:rsidRPr="001E0EF0" w14:paraId="35629800" w14:textId="77777777" w:rsidTr="001E0EF0">
        <w:trPr>
          <w:trHeight w:val="36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BA15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2021-55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A4A6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12/20/21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5928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Reimbursement Mileage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01A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463.20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06ED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SHARON HANKINSON</w:t>
            </w:r>
          </w:p>
        </w:tc>
      </w:tr>
      <w:tr w:rsidR="001E0EF0" w:rsidRPr="001E0EF0" w14:paraId="3E28F571" w14:textId="77777777" w:rsidTr="001E0EF0">
        <w:trPr>
          <w:trHeight w:val="360"/>
        </w:trPr>
        <w:tc>
          <w:tcPr>
            <w:tcW w:w="13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226E130A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73DD34B5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083BE7F0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  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7D3D901D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3DCEB600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jc w:val="right"/>
              <w:rPr>
                <w:kern w:val="0"/>
              </w:rPr>
            </w:pPr>
          </w:p>
        </w:tc>
      </w:tr>
      <w:tr w:rsidR="001E0EF0" w:rsidRPr="001E0EF0" w14:paraId="7DA4EE1D" w14:textId="77777777" w:rsidTr="001E0EF0">
        <w:trPr>
          <w:trHeight w:val="360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C8EA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Total for submitted vouchers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A32F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044F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 xml:space="preserve">2315.38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3A6C" w14:textId="77777777" w:rsidR="001E0EF0" w:rsidRPr="001E0EF0" w:rsidRDefault="001E0EF0" w:rsidP="001E0EF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1E0EF0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2F18E3BB" w14:textId="64DB323A" w:rsidR="00683170" w:rsidRDefault="00683170" w:rsidP="009377B4">
      <w:pPr>
        <w:ind w:left="720"/>
        <w:rPr>
          <w:sz w:val="24"/>
          <w:szCs w:val="24"/>
        </w:rPr>
      </w:pPr>
    </w:p>
    <w:tbl>
      <w:tblPr>
        <w:tblW w:w="7480" w:type="dxa"/>
        <w:tblInd w:w="108" w:type="dxa"/>
        <w:tblLook w:val="04A0" w:firstRow="1" w:lastRow="0" w:firstColumn="1" w:lastColumn="0" w:noHBand="0" w:noVBand="1"/>
      </w:tblPr>
      <w:tblGrid>
        <w:gridCol w:w="10440"/>
        <w:gridCol w:w="3220"/>
        <w:gridCol w:w="1300"/>
      </w:tblGrid>
      <w:tr w:rsidR="00683170" w:rsidRPr="00683170" w14:paraId="44196CCE" w14:textId="77777777" w:rsidTr="001E0EF0">
        <w:trPr>
          <w:trHeight w:val="37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544CA" w14:textId="5AAD24D8" w:rsidR="00683170" w:rsidRPr="00683170" w:rsidRDefault="003544DA" w:rsidP="0068317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pict w14:anchorId="0DB458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1.5pt;height:13.5pt">
                  <v:imagedata r:id="rId8" o:title=""/>
                </v:shape>
              </w:pic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DAA4" w14:textId="29781CBF" w:rsidR="00683170" w:rsidRPr="00683170" w:rsidRDefault="00683170" w:rsidP="00683170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9693" w14:textId="4160610E" w:rsidR="00683170" w:rsidRPr="00683170" w:rsidRDefault="00683170" w:rsidP="00683170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83CFCF6" w14:textId="102D6F0E" w:rsidR="000E47FE" w:rsidRDefault="004E514C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91F5EB" w14:textId="77777777" w:rsidR="00874C47" w:rsidRDefault="00874C47" w:rsidP="00874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D4C0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Correspondence/Communication: </w:t>
      </w:r>
    </w:p>
    <w:p w14:paraId="6BEAE943" w14:textId="58553203" w:rsidR="00CD4995" w:rsidRPr="008867C6" w:rsidRDefault="00F966A4" w:rsidP="00B222A5">
      <w:pPr>
        <w:numPr>
          <w:ilvl w:val="0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Ken contacted the County Elections Department concerning the letter we received concerning the cost distribution of the election pamphlet.  He was relieved to report that we would not pay a portion of the cost unless someone or something for our district was on the ballot.</w:t>
      </w:r>
    </w:p>
    <w:p w14:paraId="576C9426" w14:textId="01DA193F" w:rsidR="008867C6" w:rsidRPr="008867C6" w:rsidRDefault="008867C6" w:rsidP="00B222A5">
      <w:pPr>
        <w:numPr>
          <w:ilvl w:val="0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Sharon filed the Ordinance Resolution No. 05-2021 and the Levy Certification form with the </w:t>
      </w:r>
      <w:r w:rsidR="00725D04">
        <w:rPr>
          <w:iCs/>
          <w:sz w:val="24"/>
          <w:szCs w:val="24"/>
        </w:rPr>
        <w:t xml:space="preserve">  </w:t>
      </w:r>
    </w:p>
    <w:p w14:paraId="3F7603D9" w14:textId="77777777" w:rsidR="00DA738C" w:rsidRDefault="00DA738C" w:rsidP="002B2BAD">
      <w:pPr>
        <w:ind w:left="5400" w:firstLine="360"/>
        <w:rPr>
          <w:bCs/>
          <w:sz w:val="24"/>
          <w:szCs w:val="24"/>
        </w:rPr>
      </w:pPr>
    </w:p>
    <w:p w14:paraId="67D88CF8" w14:textId="77777777" w:rsidR="003E62C5" w:rsidRPr="00B222A5" w:rsidRDefault="003E62C5" w:rsidP="003E62C5">
      <w:pPr>
        <w:rPr>
          <w:sz w:val="24"/>
          <w:szCs w:val="24"/>
        </w:rPr>
      </w:pPr>
    </w:p>
    <w:p w14:paraId="62A15A34" w14:textId="4B080B64" w:rsidR="00F91AE7" w:rsidRDefault="005A28AF" w:rsidP="00F91AE7">
      <w:pPr>
        <w:ind w:left="6060" w:firstLine="420"/>
        <w:rPr>
          <w:bCs/>
          <w:sz w:val="24"/>
          <w:szCs w:val="24"/>
        </w:rPr>
      </w:pPr>
      <w:r>
        <w:rPr>
          <w:bCs/>
          <w:sz w:val="24"/>
          <w:szCs w:val="24"/>
        </w:rPr>
        <w:t>December</w:t>
      </w:r>
      <w:r w:rsidR="00F91A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</w:t>
      </w:r>
      <w:r w:rsidR="00F91AE7">
        <w:rPr>
          <w:bCs/>
          <w:sz w:val="24"/>
          <w:szCs w:val="24"/>
        </w:rPr>
        <w:t xml:space="preserve">, </w:t>
      </w:r>
      <w:r w:rsidR="00CF49CF">
        <w:rPr>
          <w:bCs/>
          <w:sz w:val="24"/>
          <w:szCs w:val="24"/>
        </w:rPr>
        <w:t>2021,</w:t>
      </w:r>
      <w:r w:rsidR="00F91AE7">
        <w:rPr>
          <w:bCs/>
          <w:sz w:val="24"/>
          <w:szCs w:val="24"/>
        </w:rPr>
        <w:t xml:space="preserve"> page 2 of 2</w:t>
      </w:r>
    </w:p>
    <w:p w14:paraId="5EBA5CD3" w14:textId="77777777" w:rsidR="00BF53E4" w:rsidRPr="00BC4FE2" w:rsidRDefault="00BF53E4" w:rsidP="00BC4FE2">
      <w:pPr>
        <w:ind w:left="5760"/>
        <w:rPr>
          <w:b/>
          <w:bCs/>
          <w:sz w:val="24"/>
          <w:szCs w:val="24"/>
        </w:rPr>
      </w:pPr>
    </w:p>
    <w:p w14:paraId="4289828F" w14:textId="77777777" w:rsidR="00DA738C" w:rsidRDefault="00DA738C" w:rsidP="002B2BAD">
      <w:pPr>
        <w:ind w:left="5400" w:firstLine="360"/>
        <w:rPr>
          <w:bCs/>
          <w:sz w:val="24"/>
          <w:szCs w:val="24"/>
        </w:rPr>
      </w:pPr>
    </w:p>
    <w:p w14:paraId="17DECE42" w14:textId="77777777" w:rsidR="00725D04" w:rsidRPr="008867C6" w:rsidRDefault="00725D04" w:rsidP="00725D04">
      <w:pPr>
        <w:numPr>
          <w:ilvl w:val="0"/>
          <w:numId w:val="5"/>
        </w:numPr>
        <w:rPr>
          <w:i/>
          <w:sz w:val="24"/>
          <w:szCs w:val="24"/>
        </w:rPr>
      </w:pPr>
      <w:bookmarkStart w:id="0" w:name="_Hlk87858267"/>
      <w:r>
        <w:rPr>
          <w:iCs/>
          <w:sz w:val="24"/>
          <w:szCs w:val="24"/>
        </w:rPr>
        <w:t>L &amp; I sent us information about rates for 2022.</w:t>
      </w:r>
    </w:p>
    <w:p w14:paraId="599B80C8" w14:textId="77777777" w:rsidR="00725D04" w:rsidRPr="00FE0377" w:rsidRDefault="00725D04" w:rsidP="00725D04">
      <w:pPr>
        <w:numPr>
          <w:ilvl w:val="0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Washington State Dept of Revenue sent us information to access our online account.</w:t>
      </w:r>
    </w:p>
    <w:p w14:paraId="3DA86B72" w14:textId="77777777" w:rsidR="00725D04" w:rsidRPr="00B222A5" w:rsidRDefault="00725D04" w:rsidP="00725D04">
      <w:pPr>
        <w:ind w:left="360"/>
        <w:rPr>
          <w:i/>
          <w:sz w:val="24"/>
          <w:szCs w:val="24"/>
        </w:rPr>
      </w:pPr>
    </w:p>
    <w:p w14:paraId="012ED8BF" w14:textId="3016DC5B" w:rsidR="00725D04" w:rsidRDefault="00725D04" w:rsidP="00725D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Unfinished Business:</w:t>
      </w:r>
    </w:p>
    <w:p w14:paraId="781055B6" w14:textId="7AAA8DC5" w:rsidR="00725D04" w:rsidRPr="00725D04" w:rsidRDefault="00725D04" w:rsidP="00725D04">
      <w:pPr>
        <w:ind w:left="36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7D3DD32D" w14:textId="77777777" w:rsidR="00725D04" w:rsidRDefault="00725D04" w:rsidP="00725D04">
      <w:pPr>
        <w:ind w:left="360"/>
        <w:rPr>
          <w:b/>
          <w:bCs/>
          <w:sz w:val="24"/>
          <w:szCs w:val="24"/>
        </w:rPr>
      </w:pPr>
    </w:p>
    <w:bookmarkEnd w:id="0"/>
    <w:p w14:paraId="4F30C782" w14:textId="0E0AFFAF" w:rsidR="009523F9" w:rsidRDefault="00CF49CF" w:rsidP="00DD3D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D1EB3">
        <w:rPr>
          <w:b/>
          <w:bCs/>
          <w:sz w:val="24"/>
          <w:szCs w:val="24"/>
        </w:rPr>
        <w:t xml:space="preserve"> New Business:</w:t>
      </w:r>
    </w:p>
    <w:p w14:paraId="4B256CC7" w14:textId="75CAEE20" w:rsidR="003E62C5" w:rsidRDefault="003E62C5" w:rsidP="00DD3D77">
      <w:pPr>
        <w:rPr>
          <w:b/>
          <w:bCs/>
          <w:sz w:val="24"/>
          <w:szCs w:val="24"/>
        </w:rPr>
      </w:pPr>
    </w:p>
    <w:p w14:paraId="1DE0DAC7" w14:textId="5AC6F1C1" w:rsidR="003A156D" w:rsidRDefault="00725D04" w:rsidP="00725D04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Ken said we need to elect a </w:t>
      </w:r>
      <w:r w:rsidR="003B405B">
        <w:rPr>
          <w:sz w:val="24"/>
          <w:szCs w:val="24"/>
        </w:rPr>
        <w:t>chairperson</w:t>
      </w:r>
      <w:r>
        <w:rPr>
          <w:sz w:val="24"/>
          <w:szCs w:val="24"/>
        </w:rPr>
        <w:t xml:space="preserve"> for 2022.  Debra nominated Jill.  Ken seconded</w:t>
      </w:r>
      <w:r w:rsidR="003B405B">
        <w:rPr>
          <w:sz w:val="24"/>
          <w:szCs w:val="24"/>
        </w:rPr>
        <w:t xml:space="preserve"> the nomination.  Jill will be our new chairperson.  Ken nominated Debra to be the Assistant Chairperson.  Debra seconded.  Debra will chair if Jill is absent.</w:t>
      </w:r>
    </w:p>
    <w:p w14:paraId="1D3552F4" w14:textId="21BC2C51" w:rsidR="003B405B" w:rsidRDefault="003B405B" w:rsidP="003B405B">
      <w:pPr>
        <w:ind w:left="359"/>
        <w:rPr>
          <w:sz w:val="24"/>
          <w:szCs w:val="24"/>
        </w:rPr>
      </w:pPr>
    </w:p>
    <w:p w14:paraId="4AFCD274" w14:textId="77777777" w:rsidR="003B405B" w:rsidRPr="003A156D" w:rsidRDefault="003B405B" w:rsidP="003B405B">
      <w:pPr>
        <w:ind w:left="359"/>
        <w:rPr>
          <w:sz w:val="24"/>
          <w:szCs w:val="24"/>
        </w:rPr>
      </w:pPr>
    </w:p>
    <w:p w14:paraId="77B4A3F4" w14:textId="5CBE6F54" w:rsidR="005255C7" w:rsidRDefault="003B405B" w:rsidP="00CF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Debra</w:t>
      </w:r>
      <w:r w:rsidR="00C56DE3">
        <w:rPr>
          <w:bCs/>
          <w:sz w:val="24"/>
          <w:szCs w:val="24"/>
        </w:rPr>
        <w:t xml:space="preserve"> moved to adjourn</w:t>
      </w:r>
      <w:r w:rsidR="005255C7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Jill</w:t>
      </w:r>
      <w:r w:rsidR="005255C7">
        <w:rPr>
          <w:bCs/>
          <w:sz w:val="24"/>
          <w:szCs w:val="24"/>
        </w:rPr>
        <w:t xml:space="preserve"> seconded the motion.  T</w:t>
      </w:r>
      <w:r w:rsidR="00930EDA">
        <w:rPr>
          <w:bCs/>
          <w:sz w:val="24"/>
          <w:szCs w:val="24"/>
        </w:rPr>
        <w:t>he meeting was adjourned at</w:t>
      </w:r>
      <w:r w:rsidR="00BF53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="00BF53E4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3</w:t>
      </w:r>
      <w:r w:rsidR="003A156D">
        <w:rPr>
          <w:bCs/>
          <w:sz w:val="24"/>
          <w:szCs w:val="24"/>
        </w:rPr>
        <w:t>2</w:t>
      </w:r>
      <w:r w:rsidR="005255C7">
        <w:rPr>
          <w:bCs/>
          <w:sz w:val="24"/>
          <w:szCs w:val="24"/>
        </w:rPr>
        <w:t>PM.</w:t>
      </w:r>
    </w:p>
    <w:p w14:paraId="1D31C690" w14:textId="1AD00DF4" w:rsidR="003A156D" w:rsidRDefault="003A156D" w:rsidP="00CF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Next meeting </w:t>
      </w:r>
      <w:r w:rsidR="003B405B">
        <w:rPr>
          <w:bCs/>
          <w:sz w:val="24"/>
          <w:szCs w:val="24"/>
        </w:rPr>
        <w:t>January</w:t>
      </w:r>
      <w:r>
        <w:rPr>
          <w:bCs/>
          <w:sz w:val="24"/>
          <w:szCs w:val="24"/>
        </w:rPr>
        <w:t xml:space="preserve"> </w:t>
      </w:r>
      <w:r w:rsidR="003B405B">
        <w:rPr>
          <w:bCs/>
          <w:sz w:val="24"/>
          <w:szCs w:val="24"/>
        </w:rPr>
        <w:t>17, 2022</w:t>
      </w:r>
      <w:r>
        <w:rPr>
          <w:bCs/>
          <w:sz w:val="24"/>
          <w:szCs w:val="24"/>
        </w:rPr>
        <w:t xml:space="preserve"> at the HUB</w:t>
      </w:r>
    </w:p>
    <w:p w14:paraId="6802AEAA" w14:textId="77777777" w:rsidR="00533B24" w:rsidRDefault="00533B24" w:rsidP="005255C7">
      <w:pPr>
        <w:rPr>
          <w:bCs/>
          <w:sz w:val="24"/>
          <w:szCs w:val="24"/>
        </w:rPr>
      </w:pPr>
    </w:p>
    <w:p w14:paraId="49F3A6AB" w14:textId="77777777" w:rsidR="00D168EB" w:rsidRDefault="00D168EB" w:rsidP="005255C7">
      <w:pPr>
        <w:rPr>
          <w:bCs/>
          <w:sz w:val="24"/>
          <w:szCs w:val="24"/>
        </w:rPr>
      </w:pPr>
    </w:p>
    <w:p w14:paraId="234DD214" w14:textId="77777777" w:rsidR="00EE737D" w:rsidRDefault="00EE737D" w:rsidP="005255C7">
      <w:pPr>
        <w:ind w:left="43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Commissioners:</w:t>
      </w:r>
    </w:p>
    <w:p w14:paraId="7B810894" w14:textId="77777777" w:rsidR="00EE737D" w:rsidRDefault="00EE737D" w:rsidP="00EE737D">
      <w:pPr>
        <w:rPr>
          <w:sz w:val="24"/>
          <w:szCs w:val="24"/>
        </w:rPr>
      </w:pPr>
    </w:p>
    <w:p w14:paraId="20330244" w14:textId="77777777" w:rsidR="00EE737D" w:rsidRDefault="00EE737D" w:rsidP="00EE737D">
      <w:pPr>
        <w:rPr>
          <w:sz w:val="24"/>
          <w:szCs w:val="24"/>
        </w:rPr>
      </w:pPr>
    </w:p>
    <w:p w14:paraId="5FEA9EC7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46DA1B59" w14:textId="77777777" w:rsidR="00EE737D" w:rsidRDefault="00EE737D" w:rsidP="00EE737D">
      <w:pPr>
        <w:rPr>
          <w:sz w:val="24"/>
          <w:szCs w:val="24"/>
        </w:rPr>
      </w:pPr>
    </w:p>
    <w:p w14:paraId="3858041E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23A2C41F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4AAF35" w14:textId="77777777" w:rsidR="0093525C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</w:t>
      </w:r>
    </w:p>
    <w:p w14:paraId="6A3044D7" w14:textId="5F75EB92" w:rsidR="00EE737D" w:rsidRDefault="00EE737D" w:rsidP="00EE73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</w:t>
      </w:r>
    </w:p>
    <w:p w14:paraId="49DB17EE" w14:textId="77777777" w:rsidR="00CF49CF" w:rsidRDefault="00CF49CF" w:rsidP="00EE737D">
      <w:pPr>
        <w:rPr>
          <w:b/>
          <w:bCs/>
          <w:sz w:val="24"/>
          <w:szCs w:val="24"/>
        </w:rPr>
      </w:pPr>
    </w:p>
    <w:sectPr w:rsidR="00CF49CF" w:rsidSect="000F7252">
      <w:headerReference w:type="default" r:id="rId9"/>
      <w:footerReference w:type="default" r:id="rId10"/>
      <w:pgSz w:w="12240" w:h="15840"/>
      <w:pgMar w:top="1440" w:right="1008" w:bottom="1728" w:left="1008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7D9F" w14:textId="77777777" w:rsidR="00C33ABB" w:rsidRDefault="00C33ABB" w:rsidP="009A5DDC">
      <w:r>
        <w:separator/>
      </w:r>
    </w:p>
  </w:endnote>
  <w:endnote w:type="continuationSeparator" w:id="0">
    <w:p w14:paraId="149AFA92" w14:textId="77777777" w:rsidR="00C33ABB" w:rsidRDefault="00C33ABB" w:rsidP="009A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ED30" w14:textId="77777777" w:rsidR="009A5DDC" w:rsidRDefault="009A5DD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DBF9" w14:textId="77777777" w:rsidR="00C33ABB" w:rsidRDefault="00C33ABB" w:rsidP="009A5DDC">
      <w:r>
        <w:separator/>
      </w:r>
    </w:p>
  </w:footnote>
  <w:footnote w:type="continuationSeparator" w:id="0">
    <w:p w14:paraId="08F43DBE" w14:textId="77777777" w:rsidR="00C33ABB" w:rsidRDefault="00C33ABB" w:rsidP="009A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06FB" w14:textId="77777777" w:rsidR="009A5DDC" w:rsidRDefault="009A5DD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843"/>
    <w:multiLevelType w:val="hybridMultilevel"/>
    <w:tmpl w:val="7C4E46BA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27681"/>
    <w:multiLevelType w:val="hybridMultilevel"/>
    <w:tmpl w:val="F75AF598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1AE"/>
    <w:multiLevelType w:val="hybridMultilevel"/>
    <w:tmpl w:val="194E18CE"/>
    <w:lvl w:ilvl="0" w:tplc="F9CA496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03E33"/>
    <w:multiLevelType w:val="hybridMultilevel"/>
    <w:tmpl w:val="D12C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224F0"/>
    <w:multiLevelType w:val="hybridMultilevel"/>
    <w:tmpl w:val="7C0AE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E16D9"/>
    <w:multiLevelType w:val="hybridMultilevel"/>
    <w:tmpl w:val="706C4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05463"/>
    <w:multiLevelType w:val="hybridMultilevel"/>
    <w:tmpl w:val="9D5C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323E5"/>
    <w:multiLevelType w:val="hybridMultilevel"/>
    <w:tmpl w:val="8766FCA4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C1BEB"/>
    <w:multiLevelType w:val="hybridMultilevel"/>
    <w:tmpl w:val="7AFA45F4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D1807"/>
    <w:multiLevelType w:val="hybridMultilevel"/>
    <w:tmpl w:val="0CA46DD2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41C62"/>
    <w:multiLevelType w:val="hybridMultilevel"/>
    <w:tmpl w:val="44E2F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E9735F"/>
    <w:multiLevelType w:val="hybridMultilevel"/>
    <w:tmpl w:val="B5143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9F20ED1"/>
    <w:multiLevelType w:val="hybridMultilevel"/>
    <w:tmpl w:val="E3C831D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390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5DDC"/>
    <w:rsid w:val="0000547A"/>
    <w:rsid w:val="00005777"/>
    <w:rsid w:val="0001451B"/>
    <w:rsid w:val="00014B99"/>
    <w:rsid w:val="00023396"/>
    <w:rsid w:val="000236E4"/>
    <w:rsid w:val="00031925"/>
    <w:rsid w:val="00034FAD"/>
    <w:rsid w:val="000355D8"/>
    <w:rsid w:val="00036F37"/>
    <w:rsid w:val="000371C6"/>
    <w:rsid w:val="000377E2"/>
    <w:rsid w:val="00045726"/>
    <w:rsid w:val="000514F9"/>
    <w:rsid w:val="00054D64"/>
    <w:rsid w:val="00057A0A"/>
    <w:rsid w:val="00063CBC"/>
    <w:rsid w:val="00066EAC"/>
    <w:rsid w:val="0007028D"/>
    <w:rsid w:val="00073B9A"/>
    <w:rsid w:val="0008048A"/>
    <w:rsid w:val="0008628B"/>
    <w:rsid w:val="00086C35"/>
    <w:rsid w:val="00087401"/>
    <w:rsid w:val="00090D5D"/>
    <w:rsid w:val="000934B7"/>
    <w:rsid w:val="000941AB"/>
    <w:rsid w:val="000A1152"/>
    <w:rsid w:val="000A116D"/>
    <w:rsid w:val="000A2DE8"/>
    <w:rsid w:val="000B13DF"/>
    <w:rsid w:val="000B2E93"/>
    <w:rsid w:val="000B4D49"/>
    <w:rsid w:val="000C11D9"/>
    <w:rsid w:val="000C175C"/>
    <w:rsid w:val="000C2284"/>
    <w:rsid w:val="000C2776"/>
    <w:rsid w:val="000D4C0F"/>
    <w:rsid w:val="000D7DDF"/>
    <w:rsid w:val="000E47FE"/>
    <w:rsid w:val="000E6E6D"/>
    <w:rsid w:val="000F2054"/>
    <w:rsid w:val="000F7252"/>
    <w:rsid w:val="00100A80"/>
    <w:rsid w:val="0010139D"/>
    <w:rsid w:val="00102EC3"/>
    <w:rsid w:val="00106BEF"/>
    <w:rsid w:val="00112F35"/>
    <w:rsid w:val="00114E20"/>
    <w:rsid w:val="0012361A"/>
    <w:rsid w:val="00123772"/>
    <w:rsid w:val="00126E67"/>
    <w:rsid w:val="0013139B"/>
    <w:rsid w:val="00135956"/>
    <w:rsid w:val="001367EE"/>
    <w:rsid w:val="00146B68"/>
    <w:rsid w:val="00151A7A"/>
    <w:rsid w:val="001523D0"/>
    <w:rsid w:val="00154860"/>
    <w:rsid w:val="001742CA"/>
    <w:rsid w:val="001802ED"/>
    <w:rsid w:val="001A0F64"/>
    <w:rsid w:val="001A16AC"/>
    <w:rsid w:val="001A1DB7"/>
    <w:rsid w:val="001A2FC2"/>
    <w:rsid w:val="001B2356"/>
    <w:rsid w:val="001B2A59"/>
    <w:rsid w:val="001C0A75"/>
    <w:rsid w:val="001C1E5D"/>
    <w:rsid w:val="001D3F36"/>
    <w:rsid w:val="001D75A3"/>
    <w:rsid w:val="001E0EF0"/>
    <w:rsid w:val="001E201A"/>
    <w:rsid w:val="001F33DF"/>
    <w:rsid w:val="001F58C3"/>
    <w:rsid w:val="00203ADE"/>
    <w:rsid w:val="00230F8E"/>
    <w:rsid w:val="00233CCD"/>
    <w:rsid w:val="002359C0"/>
    <w:rsid w:val="002454B2"/>
    <w:rsid w:val="00251F3C"/>
    <w:rsid w:val="00252C75"/>
    <w:rsid w:val="00254568"/>
    <w:rsid w:val="00257F0A"/>
    <w:rsid w:val="00280D10"/>
    <w:rsid w:val="00281340"/>
    <w:rsid w:val="00297B87"/>
    <w:rsid w:val="002B2BAD"/>
    <w:rsid w:val="002B5F56"/>
    <w:rsid w:val="002B6DE6"/>
    <w:rsid w:val="002B7230"/>
    <w:rsid w:val="002C15C7"/>
    <w:rsid w:val="002C3E9B"/>
    <w:rsid w:val="002D3395"/>
    <w:rsid w:val="002D6183"/>
    <w:rsid w:val="002F19AF"/>
    <w:rsid w:val="00303F10"/>
    <w:rsid w:val="00303FD0"/>
    <w:rsid w:val="00315366"/>
    <w:rsid w:val="003153E0"/>
    <w:rsid w:val="00316521"/>
    <w:rsid w:val="00317BC6"/>
    <w:rsid w:val="00323900"/>
    <w:rsid w:val="003241A6"/>
    <w:rsid w:val="003364CD"/>
    <w:rsid w:val="003507E4"/>
    <w:rsid w:val="00351311"/>
    <w:rsid w:val="00351794"/>
    <w:rsid w:val="00351F49"/>
    <w:rsid w:val="0035247B"/>
    <w:rsid w:val="00352A6C"/>
    <w:rsid w:val="003544DA"/>
    <w:rsid w:val="003556F4"/>
    <w:rsid w:val="0036266A"/>
    <w:rsid w:val="00363D41"/>
    <w:rsid w:val="00365929"/>
    <w:rsid w:val="0036777E"/>
    <w:rsid w:val="003812BF"/>
    <w:rsid w:val="003852BB"/>
    <w:rsid w:val="00387232"/>
    <w:rsid w:val="00394787"/>
    <w:rsid w:val="00395492"/>
    <w:rsid w:val="003A156D"/>
    <w:rsid w:val="003A1B33"/>
    <w:rsid w:val="003B405B"/>
    <w:rsid w:val="003B4845"/>
    <w:rsid w:val="003B6A5D"/>
    <w:rsid w:val="003C2531"/>
    <w:rsid w:val="003C7E70"/>
    <w:rsid w:val="003D1EB3"/>
    <w:rsid w:val="003D589D"/>
    <w:rsid w:val="003E06D1"/>
    <w:rsid w:val="003E10E5"/>
    <w:rsid w:val="003E62C5"/>
    <w:rsid w:val="003F2F25"/>
    <w:rsid w:val="003F3682"/>
    <w:rsid w:val="00402C2B"/>
    <w:rsid w:val="004051B2"/>
    <w:rsid w:val="00410E16"/>
    <w:rsid w:val="00411577"/>
    <w:rsid w:val="00412B5B"/>
    <w:rsid w:val="004137E0"/>
    <w:rsid w:val="00414A59"/>
    <w:rsid w:val="00415426"/>
    <w:rsid w:val="00417DB8"/>
    <w:rsid w:val="00422D88"/>
    <w:rsid w:val="004236EC"/>
    <w:rsid w:val="00424E08"/>
    <w:rsid w:val="00431C18"/>
    <w:rsid w:val="00433839"/>
    <w:rsid w:val="00434552"/>
    <w:rsid w:val="00436D29"/>
    <w:rsid w:val="004515D1"/>
    <w:rsid w:val="00451AF2"/>
    <w:rsid w:val="00452591"/>
    <w:rsid w:val="0045515F"/>
    <w:rsid w:val="00455EE3"/>
    <w:rsid w:val="00456809"/>
    <w:rsid w:val="00463810"/>
    <w:rsid w:val="00465AC2"/>
    <w:rsid w:val="00472493"/>
    <w:rsid w:val="004724B7"/>
    <w:rsid w:val="00474736"/>
    <w:rsid w:val="00474BD5"/>
    <w:rsid w:val="00475782"/>
    <w:rsid w:val="0047638F"/>
    <w:rsid w:val="00476A17"/>
    <w:rsid w:val="004842CF"/>
    <w:rsid w:val="00494980"/>
    <w:rsid w:val="00495E6D"/>
    <w:rsid w:val="004962A4"/>
    <w:rsid w:val="004A791F"/>
    <w:rsid w:val="004B33AF"/>
    <w:rsid w:val="004B6DE6"/>
    <w:rsid w:val="004C3D0C"/>
    <w:rsid w:val="004D3FEC"/>
    <w:rsid w:val="004D40A9"/>
    <w:rsid w:val="004D5C7D"/>
    <w:rsid w:val="004E514C"/>
    <w:rsid w:val="004E68EA"/>
    <w:rsid w:val="004E7094"/>
    <w:rsid w:val="00502688"/>
    <w:rsid w:val="0051513E"/>
    <w:rsid w:val="005204CA"/>
    <w:rsid w:val="005225BE"/>
    <w:rsid w:val="005255C7"/>
    <w:rsid w:val="00531477"/>
    <w:rsid w:val="0053365B"/>
    <w:rsid w:val="00533B24"/>
    <w:rsid w:val="0053466E"/>
    <w:rsid w:val="00540F53"/>
    <w:rsid w:val="0054579F"/>
    <w:rsid w:val="005521C4"/>
    <w:rsid w:val="00556E8B"/>
    <w:rsid w:val="0056312A"/>
    <w:rsid w:val="00563F2A"/>
    <w:rsid w:val="00566648"/>
    <w:rsid w:val="005669F6"/>
    <w:rsid w:val="0057103F"/>
    <w:rsid w:val="00577EF1"/>
    <w:rsid w:val="00580479"/>
    <w:rsid w:val="00582193"/>
    <w:rsid w:val="0058433D"/>
    <w:rsid w:val="00592B3F"/>
    <w:rsid w:val="00592DAC"/>
    <w:rsid w:val="005A28AF"/>
    <w:rsid w:val="005A3FF1"/>
    <w:rsid w:val="005A6227"/>
    <w:rsid w:val="005B2C6A"/>
    <w:rsid w:val="005C0882"/>
    <w:rsid w:val="005C6BA9"/>
    <w:rsid w:val="005D200F"/>
    <w:rsid w:val="005F1640"/>
    <w:rsid w:val="005F4FE9"/>
    <w:rsid w:val="006074B6"/>
    <w:rsid w:val="006101F9"/>
    <w:rsid w:val="00611E3F"/>
    <w:rsid w:val="00620B72"/>
    <w:rsid w:val="00621217"/>
    <w:rsid w:val="00636EDE"/>
    <w:rsid w:val="006378FF"/>
    <w:rsid w:val="00653E68"/>
    <w:rsid w:val="006749BD"/>
    <w:rsid w:val="00676338"/>
    <w:rsid w:val="00683170"/>
    <w:rsid w:val="00694FD1"/>
    <w:rsid w:val="0069502F"/>
    <w:rsid w:val="00695819"/>
    <w:rsid w:val="006A19B1"/>
    <w:rsid w:val="006A6A48"/>
    <w:rsid w:val="006B039A"/>
    <w:rsid w:val="006B291F"/>
    <w:rsid w:val="006B46D4"/>
    <w:rsid w:val="006B6254"/>
    <w:rsid w:val="006B7BE2"/>
    <w:rsid w:val="006C284A"/>
    <w:rsid w:val="006D13BC"/>
    <w:rsid w:val="006D24FB"/>
    <w:rsid w:val="006D414E"/>
    <w:rsid w:val="006E0E96"/>
    <w:rsid w:val="006E69AE"/>
    <w:rsid w:val="006F240B"/>
    <w:rsid w:val="00706107"/>
    <w:rsid w:val="00710872"/>
    <w:rsid w:val="00710CFE"/>
    <w:rsid w:val="00713E57"/>
    <w:rsid w:val="00715BD7"/>
    <w:rsid w:val="0071708C"/>
    <w:rsid w:val="00725D04"/>
    <w:rsid w:val="0073453E"/>
    <w:rsid w:val="0074132A"/>
    <w:rsid w:val="00742AA5"/>
    <w:rsid w:val="007518A9"/>
    <w:rsid w:val="00752DF5"/>
    <w:rsid w:val="00752F80"/>
    <w:rsid w:val="00755FCC"/>
    <w:rsid w:val="00767001"/>
    <w:rsid w:val="007737C3"/>
    <w:rsid w:val="00791ED6"/>
    <w:rsid w:val="00793155"/>
    <w:rsid w:val="007935C0"/>
    <w:rsid w:val="007942FD"/>
    <w:rsid w:val="00794A2C"/>
    <w:rsid w:val="007B1DFD"/>
    <w:rsid w:val="007B2808"/>
    <w:rsid w:val="007B5BF5"/>
    <w:rsid w:val="007C17C5"/>
    <w:rsid w:val="007D1EEB"/>
    <w:rsid w:val="007D7536"/>
    <w:rsid w:val="007E009B"/>
    <w:rsid w:val="007E08B5"/>
    <w:rsid w:val="007E21FD"/>
    <w:rsid w:val="007F18ED"/>
    <w:rsid w:val="00800AA3"/>
    <w:rsid w:val="00821622"/>
    <w:rsid w:val="008304DE"/>
    <w:rsid w:val="00830F79"/>
    <w:rsid w:val="008332E8"/>
    <w:rsid w:val="00834B3D"/>
    <w:rsid w:val="008403F5"/>
    <w:rsid w:val="00841E74"/>
    <w:rsid w:val="00850942"/>
    <w:rsid w:val="00861EFB"/>
    <w:rsid w:val="00867DC4"/>
    <w:rsid w:val="00874C47"/>
    <w:rsid w:val="00877BCC"/>
    <w:rsid w:val="008806CE"/>
    <w:rsid w:val="008867C6"/>
    <w:rsid w:val="008B072E"/>
    <w:rsid w:val="008C51B0"/>
    <w:rsid w:val="008C6607"/>
    <w:rsid w:val="008D3287"/>
    <w:rsid w:val="008D551B"/>
    <w:rsid w:val="008D6F21"/>
    <w:rsid w:val="008E6165"/>
    <w:rsid w:val="008F06A8"/>
    <w:rsid w:val="008F12FC"/>
    <w:rsid w:val="008F15B4"/>
    <w:rsid w:val="008F2326"/>
    <w:rsid w:val="008F7C28"/>
    <w:rsid w:val="0090321D"/>
    <w:rsid w:val="009038F2"/>
    <w:rsid w:val="00921F1E"/>
    <w:rsid w:val="00930EDA"/>
    <w:rsid w:val="00931BD6"/>
    <w:rsid w:val="0093525C"/>
    <w:rsid w:val="009377B4"/>
    <w:rsid w:val="00947DF7"/>
    <w:rsid w:val="00951A99"/>
    <w:rsid w:val="009523F9"/>
    <w:rsid w:val="00953C93"/>
    <w:rsid w:val="009610D4"/>
    <w:rsid w:val="00963126"/>
    <w:rsid w:val="009645F1"/>
    <w:rsid w:val="009722DF"/>
    <w:rsid w:val="00972BB0"/>
    <w:rsid w:val="00973E18"/>
    <w:rsid w:val="00976E8D"/>
    <w:rsid w:val="00977FC7"/>
    <w:rsid w:val="00980D0D"/>
    <w:rsid w:val="00981467"/>
    <w:rsid w:val="00985DB7"/>
    <w:rsid w:val="0099354E"/>
    <w:rsid w:val="00994548"/>
    <w:rsid w:val="009A2D71"/>
    <w:rsid w:val="009A5DDC"/>
    <w:rsid w:val="009A6D51"/>
    <w:rsid w:val="009C1AF0"/>
    <w:rsid w:val="009C5788"/>
    <w:rsid w:val="009D3A8C"/>
    <w:rsid w:val="009D3AEF"/>
    <w:rsid w:val="009D4BB4"/>
    <w:rsid w:val="009F3172"/>
    <w:rsid w:val="00A036BF"/>
    <w:rsid w:val="00A079BA"/>
    <w:rsid w:val="00A14327"/>
    <w:rsid w:val="00A14A55"/>
    <w:rsid w:val="00A2039D"/>
    <w:rsid w:val="00A306E1"/>
    <w:rsid w:val="00A360CE"/>
    <w:rsid w:val="00A453EE"/>
    <w:rsid w:val="00A475FC"/>
    <w:rsid w:val="00A5190E"/>
    <w:rsid w:val="00A56EBD"/>
    <w:rsid w:val="00A6788A"/>
    <w:rsid w:val="00A72D30"/>
    <w:rsid w:val="00A805EB"/>
    <w:rsid w:val="00A81E36"/>
    <w:rsid w:val="00A84DD4"/>
    <w:rsid w:val="00A84FD4"/>
    <w:rsid w:val="00A85A82"/>
    <w:rsid w:val="00A86176"/>
    <w:rsid w:val="00A86404"/>
    <w:rsid w:val="00A90271"/>
    <w:rsid w:val="00AA0714"/>
    <w:rsid w:val="00AB55A8"/>
    <w:rsid w:val="00AB5EEB"/>
    <w:rsid w:val="00AB672A"/>
    <w:rsid w:val="00AB6B14"/>
    <w:rsid w:val="00AC166C"/>
    <w:rsid w:val="00AC5E15"/>
    <w:rsid w:val="00AD465A"/>
    <w:rsid w:val="00AD61FE"/>
    <w:rsid w:val="00AE1286"/>
    <w:rsid w:val="00AE60C7"/>
    <w:rsid w:val="00AF0C07"/>
    <w:rsid w:val="00AF11A7"/>
    <w:rsid w:val="00AF1A1D"/>
    <w:rsid w:val="00AF6B4D"/>
    <w:rsid w:val="00B0602A"/>
    <w:rsid w:val="00B15357"/>
    <w:rsid w:val="00B222A5"/>
    <w:rsid w:val="00B227A7"/>
    <w:rsid w:val="00B269AD"/>
    <w:rsid w:val="00B41727"/>
    <w:rsid w:val="00B44D1C"/>
    <w:rsid w:val="00B459C0"/>
    <w:rsid w:val="00B50E34"/>
    <w:rsid w:val="00B6085F"/>
    <w:rsid w:val="00B62E98"/>
    <w:rsid w:val="00B66A7F"/>
    <w:rsid w:val="00B70D33"/>
    <w:rsid w:val="00B714DF"/>
    <w:rsid w:val="00B759B9"/>
    <w:rsid w:val="00B80E27"/>
    <w:rsid w:val="00B82650"/>
    <w:rsid w:val="00B82BA6"/>
    <w:rsid w:val="00B86476"/>
    <w:rsid w:val="00B92025"/>
    <w:rsid w:val="00B94CDC"/>
    <w:rsid w:val="00BA0123"/>
    <w:rsid w:val="00BB4BA0"/>
    <w:rsid w:val="00BB532E"/>
    <w:rsid w:val="00BB61BF"/>
    <w:rsid w:val="00BC4FE2"/>
    <w:rsid w:val="00BE0515"/>
    <w:rsid w:val="00BE0DEC"/>
    <w:rsid w:val="00BF53E4"/>
    <w:rsid w:val="00C07B9F"/>
    <w:rsid w:val="00C12069"/>
    <w:rsid w:val="00C163DC"/>
    <w:rsid w:val="00C20DBA"/>
    <w:rsid w:val="00C321A2"/>
    <w:rsid w:val="00C33ABB"/>
    <w:rsid w:val="00C37028"/>
    <w:rsid w:val="00C401CA"/>
    <w:rsid w:val="00C42FEE"/>
    <w:rsid w:val="00C47D47"/>
    <w:rsid w:val="00C530B2"/>
    <w:rsid w:val="00C53308"/>
    <w:rsid w:val="00C544B6"/>
    <w:rsid w:val="00C56DE3"/>
    <w:rsid w:val="00C619D4"/>
    <w:rsid w:val="00C628A5"/>
    <w:rsid w:val="00C63302"/>
    <w:rsid w:val="00C6660C"/>
    <w:rsid w:val="00C70ACF"/>
    <w:rsid w:val="00C821A5"/>
    <w:rsid w:val="00C90756"/>
    <w:rsid w:val="00C92228"/>
    <w:rsid w:val="00C942A8"/>
    <w:rsid w:val="00CA0DD7"/>
    <w:rsid w:val="00CA636E"/>
    <w:rsid w:val="00CA7296"/>
    <w:rsid w:val="00CB3041"/>
    <w:rsid w:val="00CB3E1C"/>
    <w:rsid w:val="00CB4A36"/>
    <w:rsid w:val="00CB75F4"/>
    <w:rsid w:val="00CC355C"/>
    <w:rsid w:val="00CC4138"/>
    <w:rsid w:val="00CC46AF"/>
    <w:rsid w:val="00CC4C2D"/>
    <w:rsid w:val="00CD2460"/>
    <w:rsid w:val="00CD4995"/>
    <w:rsid w:val="00CD6954"/>
    <w:rsid w:val="00CD73F5"/>
    <w:rsid w:val="00CE3C24"/>
    <w:rsid w:val="00CE6ABD"/>
    <w:rsid w:val="00CF0860"/>
    <w:rsid w:val="00CF49CF"/>
    <w:rsid w:val="00CF6B28"/>
    <w:rsid w:val="00D024F3"/>
    <w:rsid w:val="00D0258E"/>
    <w:rsid w:val="00D07DD3"/>
    <w:rsid w:val="00D10749"/>
    <w:rsid w:val="00D168EB"/>
    <w:rsid w:val="00D3215D"/>
    <w:rsid w:val="00D368E7"/>
    <w:rsid w:val="00D37571"/>
    <w:rsid w:val="00D37A08"/>
    <w:rsid w:val="00D4123F"/>
    <w:rsid w:val="00D57928"/>
    <w:rsid w:val="00D802BD"/>
    <w:rsid w:val="00D809F8"/>
    <w:rsid w:val="00D8209F"/>
    <w:rsid w:val="00D82307"/>
    <w:rsid w:val="00D949E6"/>
    <w:rsid w:val="00D94C71"/>
    <w:rsid w:val="00D975B2"/>
    <w:rsid w:val="00DA2115"/>
    <w:rsid w:val="00DA738C"/>
    <w:rsid w:val="00DC5DC4"/>
    <w:rsid w:val="00DC6159"/>
    <w:rsid w:val="00DD0AFE"/>
    <w:rsid w:val="00DD3D77"/>
    <w:rsid w:val="00DD3DEB"/>
    <w:rsid w:val="00DD7926"/>
    <w:rsid w:val="00DE1CDF"/>
    <w:rsid w:val="00DE5505"/>
    <w:rsid w:val="00DF7B49"/>
    <w:rsid w:val="00E00FBA"/>
    <w:rsid w:val="00E04749"/>
    <w:rsid w:val="00E05DDC"/>
    <w:rsid w:val="00E14B8A"/>
    <w:rsid w:val="00E213AE"/>
    <w:rsid w:val="00E224A4"/>
    <w:rsid w:val="00E27289"/>
    <w:rsid w:val="00E31097"/>
    <w:rsid w:val="00E41B17"/>
    <w:rsid w:val="00E47D29"/>
    <w:rsid w:val="00E51675"/>
    <w:rsid w:val="00E5434D"/>
    <w:rsid w:val="00E64C29"/>
    <w:rsid w:val="00E64DCE"/>
    <w:rsid w:val="00E703FE"/>
    <w:rsid w:val="00E71F06"/>
    <w:rsid w:val="00E74EA3"/>
    <w:rsid w:val="00E754DD"/>
    <w:rsid w:val="00E8109E"/>
    <w:rsid w:val="00E835AC"/>
    <w:rsid w:val="00E87EDF"/>
    <w:rsid w:val="00E9035C"/>
    <w:rsid w:val="00E908B5"/>
    <w:rsid w:val="00E94604"/>
    <w:rsid w:val="00EA2F31"/>
    <w:rsid w:val="00ED34F8"/>
    <w:rsid w:val="00ED6834"/>
    <w:rsid w:val="00EE67B2"/>
    <w:rsid w:val="00EE737D"/>
    <w:rsid w:val="00EF1E35"/>
    <w:rsid w:val="00EF78BE"/>
    <w:rsid w:val="00F033E5"/>
    <w:rsid w:val="00F101B5"/>
    <w:rsid w:val="00F1108A"/>
    <w:rsid w:val="00F169AF"/>
    <w:rsid w:val="00F22DCB"/>
    <w:rsid w:val="00F30D90"/>
    <w:rsid w:val="00F40572"/>
    <w:rsid w:val="00F43512"/>
    <w:rsid w:val="00F43A5D"/>
    <w:rsid w:val="00F45ACE"/>
    <w:rsid w:val="00F56161"/>
    <w:rsid w:val="00F56B01"/>
    <w:rsid w:val="00F575E2"/>
    <w:rsid w:val="00F6412B"/>
    <w:rsid w:val="00F669FA"/>
    <w:rsid w:val="00F675B7"/>
    <w:rsid w:val="00F74D6A"/>
    <w:rsid w:val="00F846A4"/>
    <w:rsid w:val="00F91AE7"/>
    <w:rsid w:val="00F966A4"/>
    <w:rsid w:val="00FA2FAB"/>
    <w:rsid w:val="00FA35EA"/>
    <w:rsid w:val="00FB0B4D"/>
    <w:rsid w:val="00FB1898"/>
    <w:rsid w:val="00FB5C92"/>
    <w:rsid w:val="00FB65B5"/>
    <w:rsid w:val="00FC4E6F"/>
    <w:rsid w:val="00FC55D9"/>
    <w:rsid w:val="00FD2846"/>
    <w:rsid w:val="00FD5090"/>
    <w:rsid w:val="00FE0377"/>
    <w:rsid w:val="00FE045E"/>
    <w:rsid w:val="00FE31E1"/>
    <w:rsid w:val="00FE45FB"/>
    <w:rsid w:val="00FE47EA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/>
    <o:shapelayout v:ext="edit">
      <o:idmap v:ext="edit" data="1"/>
    </o:shapelayout>
  </w:shapeDefaults>
  <w:decimalSymbol w:val="."/>
  <w:listSeparator w:val=","/>
  <w14:docId w14:val="3F50B2DA"/>
  <w15:docId w15:val="{DBC34BCB-818B-48E6-B401-1C88478A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8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308C-DEF1-4867-BD0B-9316F5FE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Hankinson</cp:lastModifiedBy>
  <cp:revision>6</cp:revision>
  <cp:lastPrinted>2022-01-17T21:39:00Z</cp:lastPrinted>
  <dcterms:created xsi:type="dcterms:W3CDTF">2022-01-17T21:20:00Z</dcterms:created>
  <dcterms:modified xsi:type="dcterms:W3CDTF">2022-01-18T19:48:00Z</dcterms:modified>
</cp:coreProperties>
</file>